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jc w:val="center"/>
        <w:rPr>
          <w:rFonts w:ascii="Times New Roman" w:hAnsi="Times New Roman" w:cs="Times New Roman"/>
          <w:sz w:val="24"/>
          <w:szCs w:val="24"/>
        </w:rPr>
      </w:pPr>
      <w:r>
        <w:rPr>
          <w:rFonts w:ascii="Times New Roman" w:hAnsi="Times New Roman" w:cs="Times New Roman"/>
          <w:sz w:val="24"/>
          <w:szCs w:val="24"/>
        </w:rPr>
        <w:t>FRAUD CASE STUDY SUSHOVAN HUSSAIN VS UNITED STATES OF AMERICA</w:t>
      </w:r>
    </w:p>
    <w:p w:rsidR="00C12D28" w:rsidRDefault="00C12D28" w:rsidP="00C12D2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2D28" w:rsidRDefault="00C12D28" w:rsidP="00C12D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12D28" w:rsidRDefault="00C12D28" w:rsidP="00C12D2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50346B" w:rsidRPr="00C12D28" w:rsidRDefault="0091047D" w:rsidP="00C12D28">
      <w:pPr>
        <w:spacing w:line="480" w:lineRule="auto"/>
        <w:ind w:firstLine="720"/>
        <w:rPr>
          <w:rFonts w:ascii="Times New Roman" w:hAnsi="Times New Roman" w:cs="Times New Roman"/>
          <w:sz w:val="24"/>
          <w:szCs w:val="24"/>
        </w:rPr>
      </w:pPr>
      <w:r w:rsidRPr="00C12D28">
        <w:rPr>
          <w:rFonts w:ascii="Times New Roman" w:hAnsi="Times New Roman" w:cs="Times New Roman"/>
          <w:sz w:val="24"/>
          <w:szCs w:val="24"/>
        </w:rPr>
        <w:lastRenderedPageBreak/>
        <w:t xml:space="preserve">Sushovan Hussain was convicted with a conspiracy of committing securities fraud, and he served as chief financial officer of a corporation from the United Kingdom. The panel of judges has sufficient evidence that Hussain had committed the crime because he </w:t>
      </w:r>
      <w:r w:rsidRPr="00C12D28">
        <w:rPr>
          <w:rFonts w:ascii="Times New Roman" w:hAnsi="Times New Roman" w:cs="Times New Roman"/>
          <w:sz w:val="24"/>
          <w:szCs w:val="24"/>
        </w:rPr>
        <w:t>had given misleading financial information. He was also convicted of using domestic wires to make the offense effective, from the investigations that were done, Hussain was found guilty of the fraudulent scheme that was connected to United States of Americ</w:t>
      </w:r>
      <w:r w:rsidRPr="00C12D28">
        <w:rPr>
          <w:rFonts w:ascii="Times New Roman" w:hAnsi="Times New Roman" w:cs="Times New Roman"/>
          <w:sz w:val="24"/>
          <w:szCs w:val="24"/>
        </w:rPr>
        <w:t xml:space="preserve">a securities. In the district court, he was found guilty, and this decision was upheld in the court of appeal. </w:t>
      </w:r>
      <w:r w:rsidR="00FB242F" w:rsidRPr="00C12D28">
        <w:rPr>
          <w:rFonts w:ascii="Times New Roman" w:hAnsi="Times New Roman" w:cs="Times New Roman"/>
          <w:sz w:val="24"/>
          <w:szCs w:val="24"/>
        </w:rPr>
        <w:t>In</w:t>
      </w:r>
      <w:r w:rsidRPr="00C12D28">
        <w:rPr>
          <w:rFonts w:ascii="Times New Roman" w:hAnsi="Times New Roman" w:cs="Times New Roman"/>
          <w:sz w:val="24"/>
          <w:szCs w:val="24"/>
        </w:rPr>
        <w:t xml:space="preserve"> the procedural law, Hussain was found guilty of the crime from their activities because of the fraudulent inflation of the revenue gained by </w:t>
      </w:r>
      <w:r w:rsidR="00FB242F" w:rsidRPr="00C12D28">
        <w:rPr>
          <w:rFonts w:ascii="Times New Roman" w:hAnsi="Times New Roman" w:cs="Times New Roman"/>
          <w:sz w:val="24"/>
          <w:szCs w:val="24"/>
        </w:rPr>
        <w:t>Autonomy Corporation</w:t>
      </w:r>
      <w:r w:rsidRPr="00C12D28">
        <w:rPr>
          <w:rFonts w:ascii="Times New Roman" w:hAnsi="Times New Roman" w:cs="Times New Roman"/>
          <w:sz w:val="24"/>
          <w:szCs w:val="24"/>
        </w:rPr>
        <w:t xml:space="preserve"> through the accounting systems that were the main avenue of committing this crime. </w:t>
      </w:r>
      <w:r w:rsidR="00FB242F" w:rsidRPr="00C12D28">
        <w:rPr>
          <w:rFonts w:ascii="Times New Roman" w:hAnsi="Times New Roman" w:cs="Times New Roman"/>
          <w:sz w:val="24"/>
          <w:szCs w:val="24"/>
        </w:rPr>
        <w:t xml:space="preserve">He was charged with two criminal cases: wire fraud and fraud about the securities in the country exchange </w:t>
      </w:r>
      <w:r w:rsidR="00C12D28" w:rsidRPr="00C12D28">
        <w:rPr>
          <w:rFonts w:ascii="Times New Roman" w:hAnsi="Times New Roman" w:cs="Times New Roman"/>
          <w:sz w:val="24"/>
          <w:szCs w:val="24"/>
        </w:rPr>
        <w:t>rates</w:t>
      </w:r>
      <w:r w:rsidR="00C12D28">
        <w:rPr>
          <w:rFonts w:ascii="Times New Roman" w:hAnsi="Times New Roman" w:cs="Times New Roman"/>
          <w:sz w:val="24"/>
          <w:szCs w:val="24"/>
        </w:rPr>
        <w:t xml:space="preserve"> (</w:t>
      </w:r>
      <w:r w:rsidR="00C12D28" w:rsidRPr="00C12D28">
        <w:rPr>
          <w:rFonts w:ascii="Times New Roman" w:hAnsi="Times New Roman" w:cs="Times New Roman"/>
          <w:sz w:val="24"/>
          <w:szCs w:val="24"/>
        </w:rPr>
        <w:t>Mi</w:t>
      </w:r>
      <w:r w:rsidR="00C12D28">
        <w:rPr>
          <w:rFonts w:ascii="Times New Roman" w:hAnsi="Times New Roman" w:cs="Times New Roman"/>
          <w:sz w:val="24"/>
          <w:szCs w:val="24"/>
        </w:rPr>
        <w:t>ntchik, &amp; Riley, 2019)</w:t>
      </w:r>
      <w:r w:rsidR="00FB242F" w:rsidRPr="00C12D28">
        <w:rPr>
          <w:rFonts w:ascii="Times New Roman" w:hAnsi="Times New Roman" w:cs="Times New Roman"/>
          <w:sz w:val="24"/>
          <w:szCs w:val="24"/>
        </w:rPr>
        <w:t xml:space="preserve">. </w:t>
      </w:r>
    </w:p>
    <w:p w:rsidR="00FB242F" w:rsidRDefault="0091047D" w:rsidP="00C12D28">
      <w:pPr>
        <w:spacing w:line="480" w:lineRule="auto"/>
        <w:ind w:firstLine="720"/>
        <w:rPr>
          <w:rFonts w:ascii="Times New Roman" w:hAnsi="Times New Roman" w:cs="Times New Roman"/>
          <w:sz w:val="24"/>
          <w:szCs w:val="24"/>
        </w:rPr>
      </w:pPr>
      <w:r w:rsidRPr="00C12D28">
        <w:rPr>
          <w:rFonts w:ascii="Times New Roman" w:hAnsi="Times New Roman" w:cs="Times New Roman"/>
          <w:sz w:val="24"/>
          <w:szCs w:val="24"/>
        </w:rPr>
        <w:t>Hussain and his accomplices used a vari</w:t>
      </w:r>
      <w:r w:rsidRPr="00C12D28">
        <w:rPr>
          <w:rFonts w:ascii="Times New Roman" w:hAnsi="Times New Roman" w:cs="Times New Roman"/>
          <w:sz w:val="24"/>
          <w:szCs w:val="24"/>
        </w:rPr>
        <w:t>ety of sophisticated methods to commit the fraud. Each was centered on the idea of inflating Autonomy's revenue, which is one of the most critical indicators of a company's success because it communicates growth and provides a firm market valuation.</w:t>
      </w:r>
      <w:r w:rsidRPr="00C12D28">
        <w:rPr>
          <w:rFonts w:ascii="Times New Roman" w:hAnsi="Times New Roman" w:cs="Times New Roman"/>
          <w:sz w:val="24"/>
          <w:szCs w:val="24"/>
        </w:rPr>
        <w:t xml:space="preserve"> </w:t>
      </w:r>
      <w:r w:rsidRPr="00C12D28">
        <w:rPr>
          <w:rFonts w:ascii="Times New Roman" w:hAnsi="Times New Roman" w:cs="Times New Roman"/>
          <w:sz w:val="24"/>
          <w:szCs w:val="24"/>
        </w:rPr>
        <w:t>Some o</w:t>
      </w:r>
      <w:r w:rsidRPr="00C12D28">
        <w:rPr>
          <w:rFonts w:ascii="Times New Roman" w:hAnsi="Times New Roman" w:cs="Times New Roman"/>
          <w:sz w:val="24"/>
          <w:szCs w:val="24"/>
        </w:rPr>
        <w:t>f these purchases were backdated so that Autonomy could raise income for previous quarters. Autonomy also sold hardware at a loss to inflate its revenues, despite claiming to be a "pure software" company. According to extensive evidence given at trial, Hus</w:t>
      </w:r>
      <w:r w:rsidRPr="00C12D28">
        <w:rPr>
          <w:rFonts w:ascii="Times New Roman" w:hAnsi="Times New Roman" w:cs="Times New Roman"/>
          <w:sz w:val="24"/>
          <w:szCs w:val="24"/>
        </w:rPr>
        <w:t>sain was centrally involved in inflating Autonomy's income and misrepresenting its cla</w:t>
      </w:r>
      <w:r w:rsidRPr="00C12D28">
        <w:rPr>
          <w:rFonts w:ascii="Times New Roman" w:hAnsi="Times New Roman" w:cs="Times New Roman"/>
          <w:sz w:val="24"/>
          <w:szCs w:val="24"/>
        </w:rPr>
        <w:t>imed financial performance</w:t>
      </w:r>
      <w:r w:rsidRPr="00C12D28">
        <w:rPr>
          <w:rFonts w:ascii="Times New Roman" w:hAnsi="Times New Roman" w:cs="Times New Roman"/>
          <w:sz w:val="24"/>
          <w:szCs w:val="24"/>
        </w:rPr>
        <w:t>. The</w:t>
      </w:r>
      <w:r w:rsidRPr="00C12D28">
        <w:rPr>
          <w:rFonts w:ascii="Times New Roman" w:hAnsi="Times New Roman" w:cs="Times New Roman"/>
          <w:sz w:val="24"/>
          <w:szCs w:val="24"/>
        </w:rPr>
        <w:t xml:space="preserve"> rule of law used in the trial was </w:t>
      </w:r>
      <w:r w:rsidR="00C12D28" w:rsidRPr="00C12D28">
        <w:rPr>
          <w:rFonts w:ascii="Times New Roman" w:hAnsi="Times New Roman" w:cs="Times New Roman"/>
          <w:sz w:val="24"/>
          <w:szCs w:val="24"/>
        </w:rPr>
        <w:t>on</w:t>
      </w:r>
      <w:r w:rsidRPr="00C12D28">
        <w:rPr>
          <w:rFonts w:ascii="Times New Roman" w:hAnsi="Times New Roman" w:cs="Times New Roman"/>
          <w:sz w:val="24"/>
          <w:szCs w:val="24"/>
        </w:rPr>
        <w:t xml:space="preserve"> the off chance that the lead pertinent to the resolution's center happened in the United States. At t</w:t>
      </w:r>
      <w:r w:rsidRPr="00C12D28">
        <w:rPr>
          <w:rFonts w:ascii="Times New Roman" w:hAnsi="Times New Roman" w:cs="Times New Roman"/>
          <w:sz w:val="24"/>
          <w:szCs w:val="24"/>
        </w:rPr>
        <w:t>hat point, the case includes an admissible homegrown application regardless of whether it happened abroad. However, assuming the direct pertinent to the center occurred in an outside country. The case comprises an impermissible extraterritorial application</w:t>
      </w:r>
      <w:r w:rsidRPr="00C12D28">
        <w:rPr>
          <w:rFonts w:ascii="Times New Roman" w:hAnsi="Times New Roman" w:cs="Times New Roman"/>
          <w:sz w:val="24"/>
          <w:szCs w:val="24"/>
        </w:rPr>
        <w:t xml:space="preserve"> paying little heed to what</w:t>
      </w:r>
      <w:r w:rsidR="00C12D28" w:rsidRPr="00C12D28">
        <w:rPr>
          <w:rFonts w:ascii="Times New Roman" w:hAnsi="Times New Roman" w:cs="Times New Roman"/>
          <w:sz w:val="24"/>
          <w:szCs w:val="24"/>
        </w:rPr>
        <w:t>ever happened in the U.S jurisdiction</w:t>
      </w:r>
      <w:r w:rsidRPr="00C12D28">
        <w:rPr>
          <w:rFonts w:ascii="Times New Roman" w:hAnsi="Times New Roman" w:cs="Times New Roman"/>
          <w:sz w:val="24"/>
          <w:szCs w:val="24"/>
        </w:rPr>
        <w:t>.</w:t>
      </w:r>
      <w:r w:rsidR="007E3CD5" w:rsidRPr="00C12D28">
        <w:rPr>
          <w:rFonts w:ascii="Times New Roman" w:hAnsi="Times New Roman" w:cs="Times New Roman"/>
          <w:sz w:val="24"/>
          <w:szCs w:val="24"/>
        </w:rPr>
        <w:t xml:space="preserve"> The court decided as per the rule of law against crime, which was ideal in the solution to the fraud case. </w:t>
      </w: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rPr>
          <w:rFonts w:ascii="Times New Roman" w:hAnsi="Times New Roman" w:cs="Times New Roman"/>
          <w:sz w:val="24"/>
          <w:szCs w:val="24"/>
        </w:rPr>
      </w:pPr>
    </w:p>
    <w:p w:rsidR="00C12D28" w:rsidRDefault="00C12D28" w:rsidP="00C12D2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12D28" w:rsidRPr="00C12D28" w:rsidRDefault="00C12D28" w:rsidP="00C12D28">
      <w:pPr>
        <w:spacing w:line="480" w:lineRule="auto"/>
        <w:rPr>
          <w:rFonts w:ascii="Times New Roman" w:hAnsi="Times New Roman" w:cs="Times New Roman"/>
          <w:sz w:val="24"/>
          <w:szCs w:val="24"/>
        </w:rPr>
      </w:pPr>
      <w:r w:rsidRPr="00C12D28">
        <w:rPr>
          <w:rFonts w:ascii="Times New Roman" w:hAnsi="Times New Roman" w:cs="Times New Roman"/>
          <w:sz w:val="24"/>
          <w:szCs w:val="24"/>
        </w:rPr>
        <w:t>Mintchik, N., &amp; Riley, J. (2019). Rationalizing fraud: How thinking like a crook can help prevent fraud. </w:t>
      </w:r>
      <w:r w:rsidRPr="00C12D28">
        <w:rPr>
          <w:rFonts w:ascii="Times New Roman" w:hAnsi="Times New Roman" w:cs="Times New Roman"/>
          <w:i/>
          <w:iCs/>
          <w:sz w:val="24"/>
          <w:szCs w:val="24"/>
        </w:rPr>
        <w:t>The CPA Journal</w:t>
      </w:r>
      <w:r w:rsidRPr="00C12D28">
        <w:rPr>
          <w:rFonts w:ascii="Times New Roman" w:hAnsi="Times New Roman" w:cs="Times New Roman"/>
          <w:sz w:val="24"/>
          <w:szCs w:val="24"/>
        </w:rPr>
        <w:t>, </w:t>
      </w:r>
      <w:r w:rsidRPr="00C12D28">
        <w:rPr>
          <w:rFonts w:ascii="Times New Roman" w:hAnsi="Times New Roman" w:cs="Times New Roman"/>
          <w:i/>
          <w:iCs/>
          <w:sz w:val="24"/>
          <w:szCs w:val="24"/>
        </w:rPr>
        <w:t>8</w:t>
      </w:r>
      <w:bookmarkStart w:id="0" w:name="_GoBack"/>
      <w:bookmarkEnd w:id="0"/>
      <w:r w:rsidRPr="00C12D28">
        <w:rPr>
          <w:rFonts w:ascii="Times New Roman" w:hAnsi="Times New Roman" w:cs="Times New Roman"/>
          <w:i/>
          <w:iCs/>
          <w:sz w:val="24"/>
          <w:szCs w:val="24"/>
        </w:rPr>
        <w:t>9</w:t>
      </w:r>
      <w:r w:rsidRPr="00C12D28">
        <w:rPr>
          <w:rFonts w:ascii="Times New Roman" w:hAnsi="Times New Roman" w:cs="Times New Roman"/>
          <w:sz w:val="24"/>
          <w:szCs w:val="24"/>
        </w:rPr>
        <w:t>(3), 44-50.</w:t>
      </w:r>
    </w:p>
    <w:sectPr w:rsidR="00C12D28" w:rsidRPr="00C12D28" w:rsidSect="00C12D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47D" w:rsidRDefault="0091047D" w:rsidP="00C12D28">
      <w:pPr>
        <w:spacing w:after="0" w:line="240" w:lineRule="auto"/>
      </w:pPr>
      <w:r>
        <w:separator/>
      </w:r>
    </w:p>
  </w:endnote>
  <w:endnote w:type="continuationSeparator" w:id="0">
    <w:p w:rsidR="0091047D" w:rsidRDefault="0091047D" w:rsidP="00C1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47D" w:rsidRDefault="0091047D" w:rsidP="00C12D28">
      <w:pPr>
        <w:spacing w:after="0" w:line="240" w:lineRule="auto"/>
      </w:pPr>
      <w:r>
        <w:separator/>
      </w:r>
    </w:p>
  </w:footnote>
  <w:footnote w:type="continuationSeparator" w:id="0">
    <w:p w:rsidR="0091047D" w:rsidRDefault="0091047D" w:rsidP="00C12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D28" w:rsidRDefault="00C12D28">
    <w:pPr>
      <w:pStyle w:val="Header"/>
      <w:jc w:val="right"/>
    </w:pPr>
    <w:r w:rsidRPr="00C12D28">
      <w:rPr>
        <w:rFonts w:ascii="Times New Roman" w:hAnsi="Times New Roman" w:cs="Times New Roman"/>
        <w:sz w:val="24"/>
        <w:szCs w:val="24"/>
      </w:rPr>
      <w:t>CASE</w:t>
    </w:r>
    <w:sdt>
      <w:sdtPr>
        <w:id w:val="-1027489478"/>
        <w:docPartObj>
          <w:docPartGallery w:val="Page Numbers (Top of Page)"/>
          <w:docPartUnique/>
        </w:docPartObj>
      </w:sdtPr>
      <w:sdtEndPr>
        <w:rPr>
          <w:noProof/>
        </w:rPr>
      </w:sdtEndPr>
      <w:sdtContent>
        <w:r>
          <w:t>.</w:t>
        </w:r>
        <w:r>
          <w:tab/>
        </w:r>
        <w:r>
          <w:tab/>
        </w:r>
        <w:r>
          <w:fldChar w:fldCharType="begin"/>
        </w:r>
        <w:r>
          <w:instrText xml:space="preserve"> PAGE   \* MERGEFORMAT </w:instrText>
        </w:r>
        <w:r>
          <w:fldChar w:fldCharType="separate"/>
        </w:r>
        <w:r>
          <w:rPr>
            <w:noProof/>
          </w:rPr>
          <w:t>3</w:t>
        </w:r>
        <w:r>
          <w:rPr>
            <w:noProof/>
          </w:rPr>
          <w:fldChar w:fldCharType="end"/>
        </w:r>
      </w:sdtContent>
    </w:sdt>
  </w:p>
  <w:p w:rsidR="00C12D28" w:rsidRDefault="00C12D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379781"/>
      <w:docPartObj>
        <w:docPartGallery w:val="Page Numbers (Top of Page)"/>
        <w:docPartUnique/>
      </w:docPartObj>
    </w:sdtPr>
    <w:sdtEndPr>
      <w:rPr>
        <w:noProof/>
      </w:rPr>
    </w:sdtEndPr>
    <w:sdtContent>
      <w:p w:rsidR="00C12D28" w:rsidRDefault="00C12D28">
        <w:pPr>
          <w:pStyle w:val="Header"/>
          <w:jc w:val="right"/>
        </w:pPr>
        <w:r>
          <w:fldChar w:fldCharType="begin"/>
        </w:r>
        <w:r>
          <w:instrText xml:space="preserve"> PAGE   \* MERGEFORMAT </w:instrText>
        </w:r>
        <w:r>
          <w:fldChar w:fldCharType="separate"/>
        </w:r>
        <w:r w:rsidR="0091047D">
          <w:rPr>
            <w:noProof/>
          </w:rPr>
          <w:t>1</w:t>
        </w:r>
        <w:r>
          <w:rPr>
            <w:noProof/>
          </w:rPr>
          <w:fldChar w:fldCharType="end"/>
        </w:r>
      </w:p>
    </w:sdtContent>
  </w:sdt>
  <w:p w:rsidR="00C12D28" w:rsidRDefault="00C12D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6AF"/>
    <w:rsid w:val="0050346B"/>
    <w:rsid w:val="005F36AF"/>
    <w:rsid w:val="007E3CD5"/>
    <w:rsid w:val="0091047D"/>
    <w:rsid w:val="00C12D28"/>
    <w:rsid w:val="00FB2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8E509-6F59-4945-AB9A-AD8783D0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D28"/>
  </w:style>
  <w:style w:type="paragraph" w:styleId="Footer">
    <w:name w:val="footer"/>
    <w:basedOn w:val="Normal"/>
    <w:link w:val="FooterChar"/>
    <w:uiPriority w:val="99"/>
    <w:unhideWhenUsed/>
    <w:rsid w:val="00C1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2021-09-24T09:09:00Z</dcterms:created>
  <dcterms:modified xsi:type="dcterms:W3CDTF">2021-09-24T09:48:00Z</dcterms:modified>
</cp:coreProperties>
</file>